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01F4" w14:textId="77777777" w:rsidR="001D05B2" w:rsidRDefault="00957A39">
      <w:pPr>
        <w:spacing w:after="150"/>
      </w:pPr>
      <w:r>
        <w:rPr>
          <w:rFonts w:ascii="Arial"/>
          <w:color w:val="000000"/>
        </w:rPr>
        <w:t>﻿</w:t>
      </w:r>
      <w:proofErr w:type="spellStart"/>
      <w:r>
        <w:rPr>
          <w:color w:val="000000"/>
        </w:rPr>
        <w:t>Преузето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14:paraId="68A0F4A9" w14:textId="77777777" w:rsidR="001D05B2" w:rsidRDefault="00957A39">
      <w:pPr>
        <w:spacing w:after="150"/>
        <w:jc w:val="center"/>
      </w:pPr>
      <w:r>
        <w:rPr>
          <w:b/>
          <w:color w:val="000000"/>
        </w:rPr>
        <w:t>4513</w:t>
      </w:r>
    </w:p>
    <w:p w14:paraId="01D6DD87" w14:textId="77777777" w:rsidR="001D05B2" w:rsidRDefault="00957A39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123. </w:t>
      </w:r>
      <w:proofErr w:type="spellStart"/>
      <w:r>
        <w:rPr>
          <w:color w:val="000000"/>
        </w:rPr>
        <w:t>тачка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Устава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42.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101/07, 65/08, 16/11, 68/12 – УС, 72/12, 7/14 – УС, 44/14 и 30/18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), а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Законом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саобраћаја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путевима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PC”,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41/09, 53/10, 101/11, 32/13 – УС, 55/14, 96/15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, 9/16 – УС, 24/18, 41/</w:t>
      </w:r>
      <w:r>
        <w:rPr>
          <w:color w:val="000000"/>
        </w:rPr>
        <w:t xml:space="preserve">18, 87/18, 23/19 и 128/20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14:paraId="2AFD2743" w14:textId="77777777" w:rsidR="001D05B2" w:rsidRDefault="00957A39">
      <w:pPr>
        <w:spacing w:after="150"/>
      </w:pP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14:paraId="4CD7F70E" w14:textId="77777777" w:rsidR="001D05B2" w:rsidRDefault="00957A39">
      <w:pPr>
        <w:spacing w:after="225"/>
        <w:jc w:val="center"/>
      </w:pPr>
      <w:r>
        <w:rPr>
          <w:b/>
          <w:color w:val="000000"/>
        </w:rPr>
        <w:t>УРЕДБУ</w:t>
      </w:r>
    </w:p>
    <w:p w14:paraId="142DAA08" w14:textId="77777777" w:rsidR="001D05B2" w:rsidRDefault="00957A39">
      <w:pPr>
        <w:spacing w:after="150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посебним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важења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регистрације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моторних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возила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имају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регистарске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ознаке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градова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општина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подручју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Аутономне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покрајине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Косово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Метохија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која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основу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Резолуције</w:t>
      </w:r>
      <w:proofErr w:type="spellEnd"/>
      <w:r>
        <w:rPr>
          <w:b/>
          <w:color w:val="000000"/>
        </w:rPr>
        <w:t xml:space="preserve"> 1244 </w:t>
      </w:r>
      <w:proofErr w:type="spellStart"/>
      <w:r>
        <w:rPr>
          <w:b/>
          <w:color w:val="000000"/>
        </w:rPr>
        <w:t>Савета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безбедности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Уједињених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нација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налази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привременом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управом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цивилне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мисије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Уједињених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нација</w:t>
      </w:r>
      <w:proofErr w:type="spellEnd"/>
      <w:r>
        <w:rPr>
          <w:b/>
          <w:color w:val="000000"/>
        </w:rPr>
        <w:t xml:space="preserve"> УНМИК</w:t>
      </w:r>
    </w:p>
    <w:p w14:paraId="36E0B57F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14:paraId="659F92A4" w14:textId="77777777" w:rsidR="001D05B2" w:rsidRDefault="00957A39">
      <w:pPr>
        <w:spacing w:after="150"/>
      </w:pP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посебни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моторних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прикључних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 xml:space="preserve"> (у </w:t>
      </w:r>
      <w:proofErr w:type="spellStart"/>
      <w:r>
        <w:rPr>
          <w:color w:val="000000"/>
        </w:rPr>
        <w:t>даљем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тексту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градо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општина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Аутономне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покрајине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Косово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Метохија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Резолуције</w:t>
      </w:r>
      <w:proofErr w:type="spellEnd"/>
      <w:r>
        <w:rPr>
          <w:color w:val="000000"/>
        </w:rPr>
        <w:t xml:space="preserve"> 1244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привременом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међународне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цивилне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мисије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УНМИК.</w:t>
      </w:r>
    </w:p>
    <w:p w14:paraId="35C97EB0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14:paraId="0E0DE900" w14:textId="77777777" w:rsidR="001D05B2" w:rsidRDefault="00957A39">
      <w:pPr>
        <w:spacing w:after="150"/>
      </w:pPr>
      <w:proofErr w:type="spellStart"/>
      <w:r>
        <w:rPr>
          <w:color w:val="000000"/>
        </w:rPr>
        <w:t>Посебни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примењују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градова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општина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подручју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Аутономне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покрајине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Косово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Метохија</w:t>
      </w:r>
      <w:proofErr w:type="spellEnd"/>
      <w:r>
        <w:rPr>
          <w:color w:val="000000"/>
        </w:rPr>
        <w:t>:</w:t>
      </w:r>
    </w:p>
    <w:p w14:paraId="46B06E48" w14:textId="77777777" w:rsidR="001D05B2" w:rsidRDefault="00957A39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Приштина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регистарска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</w:t>
      </w:r>
      <w:proofErr w:type="spellEnd"/>
      <w:r>
        <w:rPr>
          <w:color w:val="000000"/>
        </w:rPr>
        <w:t xml:space="preserve"> „PR”,</w:t>
      </w:r>
    </w:p>
    <w:p w14:paraId="79838C5B" w14:textId="77777777" w:rsidR="001D05B2" w:rsidRDefault="00957A39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Косовска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Митровица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регистарска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</w:t>
      </w:r>
      <w:proofErr w:type="spellEnd"/>
      <w:r>
        <w:rPr>
          <w:color w:val="000000"/>
        </w:rPr>
        <w:t xml:space="preserve"> „KM”,</w:t>
      </w:r>
    </w:p>
    <w:p w14:paraId="46AC74D9" w14:textId="77777777" w:rsidR="001D05B2" w:rsidRDefault="00957A39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П</w:t>
      </w:r>
      <w:r>
        <w:rPr>
          <w:color w:val="000000"/>
        </w:rPr>
        <w:t>ризрен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регистарска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</w:t>
      </w:r>
      <w:proofErr w:type="spellEnd"/>
      <w:r>
        <w:rPr>
          <w:color w:val="000000"/>
        </w:rPr>
        <w:t xml:space="preserve"> „PZ”,</w:t>
      </w:r>
    </w:p>
    <w:p w14:paraId="610B70FC" w14:textId="77777777" w:rsidR="001D05B2" w:rsidRDefault="00957A39">
      <w:pPr>
        <w:spacing w:after="150"/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Пећ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регистарска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</w:t>
      </w:r>
      <w:proofErr w:type="spellEnd"/>
      <w:r>
        <w:rPr>
          <w:color w:val="000000"/>
        </w:rPr>
        <w:t xml:space="preserve"> „PE”,</w:t>
      </w:r>
    </w:p>
    <w:p w14:paraId="0EFA70AE" w14:textId="77777777" w:rsidR="001D05B2" w:rsidRDefault="00957A39">
      <w:pPr>
        <w:spacing w:after="150"/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Гњилане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регистарска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</w:t>
      </w:r>
      <w:proofErr w:type="spellEnd"/>
      <w:r>
        <w:rPr>
          <w:color w:val="000000"/>
        </w:rPr>
        <w:t xml:space="preserve"> „GL”,</w:t>
      </w:r>
    </w:p>
    <w:p w14:paraId="38C183BA" w14:textId="77777777" w:rsidR="001D05B2" w:rsidRDefault="00957A39">
      <w:pPr>
        <w:spacing w:after="150"/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Ђаковица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регистарска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</w:t>
      </w:r>
      <w:proofErr w:type="spellEnd"/>
      <w:r>
        <w:rPr>
          <w:color w:val="000000"/>
        </w:rPr>
        <w:t xml:space="preserve"> „ĐA” и</w:t>
      </w:r>
    </w:p>
    <w:p w14:paraId="72E7391B" w14:textId="77777777" w:rsidR="001D05B2" w:rsidRDefault="00957A39">
      <w:pPr>
        <w:spacing w:after="150"/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Урошевац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регистарска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</w:t>
      </w:r>
      <w:proofErr w:type="spellEnd"/>
      <w:r>
        <w:rPr>
          <w:color w:val="000000"/>
        </w:rPr>
        <w:t xml:space="preserve"> „UR”.</w:t>
      </w:r>
    </w:p>
    <w:p w14:paraId="2B86A60A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14:paraId="679C9064" w14:textId="77777777" w:rsidR="001D05B2" w:rsidRDefault="00957A39">
      <w:pPr>
        <w:spacing w:after="150"/>
      </w:pPr>
      <w:proofErr w:type="spellStart"/>
      <w:r>
        <w:rPr>
          <w:color w:val="000000"/>
        </w:rPr>
        <w:t>Период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важења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налепница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регистарски</w:t>
      </w:r>
      <w:r>
        <w:rPr>
          <w:color w:val="000000"/>
        </w:rPr>
        <w:t>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продужава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постизања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питању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Дијалога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Београда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Приштине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међународноправном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Резолуције</w:t>
      </w:r>
      <w:proofErr w:type="spellEnd"/>
      <w:r>
        <w:rPr>
          <w:color w:val="000000"/>
        </w:rPr>
        <w:t xml:space="preserve"> 1244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Резолуције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Генералне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скупштине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64/298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2010.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>.</w:t>
      </w:r>
    </w:p>
    <w:p w14:paraId="7C5C4675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14:paraId="7B07F98D" w14:textId="77777777" w:rsidR="001D05B2" w:rsidRDefault="00957A39">
      <w:pPr>
        <w:spacing w:after="150"/>
      </w:pPr>
      <w:proofErr w:type="spellStart"/>
      <w:r>
        <w:rPr>
          <w:color w:val="000000"/>
        </w:rPr>
        <w:t>Возилима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регистрационе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налепнице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постизања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питању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Дијалога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Београда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Приштине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међународноправном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Резол</w:t>
      </w:r>
      <w:r>
        <w:rPr>
          <w:color w:val="000000"/>
        </w:rPr>
        <w:t>уције</w:t>
      </w:r>
      <w:proofErr w:type="spellEnd"/>
      <w:r>
        <w:rPr>
          <w:color w:val="000000"/>
        </w:rPr>
        <w:t xml:space="preserve"> 1244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Резолуције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Генералне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скупштине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64/298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2010.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>.</w:t>
      </w:r>
    </w:p>
    <w:p w14:paraId="7BFD8A95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14:paraId="48BA79C7" w14:textId="77777777" w:rsidR="001D05B2" w:rsidRDefault="00957A39">
      <w:pPr>
        <w:spacing w:after="150"/>
      </w:pP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унутрашњих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</w:t>
      </w:r>
      <w:r>
        <w:rPr>
          <w:color w:val="000000"/>
        </w:rPr>
        <w:t>тизања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трајног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питању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Дијалога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Београда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Приштине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међународноправном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Резолуције</w:t>
      </w:r>
      <w:proofErr w:type="spellEnd"/>
      <w:r>
        <w:rPr>
          <w:color w:val="000000"/>
        </w:rPr>
        <w:t xml:space="preserve"> 1244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Резолуције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Генералне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скупштине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Уједињених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нација</w:t>
      </w:r>
      <w:proofErr w:type="spellEnd"/>
      <w:r>
        <w:rPr>
          <w:color w:val="000000"/>
        </w:rPr>
        <w:t xml:space="preserve"> 64/298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2010.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>.</w:t>
      </w:r>
    </w:p>
    <w:p w14:paraId="34DEA6AD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</w:p>
    <w:p w14:paraId="5CAD1D74" w14:textId="77777777" w:rsidR="001D05B2" w:rsidRDefault="00957A39">
      <w:pPr>
        <w:spacing w:after="150"/>
      </w:pPr>
      <w:proofErr w:type="spellStart"/>
      <w:r>
        <w:rPr>
          <w:color w:val="000000"/>
        </w:rPr>
        <w:t>Воз</w:t>
      </w:r>
      <w:r>
        <w:rPr>
          <w:color w:val="000000"/>
        </w:rPr>
        <w:t>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учествовати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саобраћају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техничкој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исправности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обавезном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осигурању</w:t>
      </w:r>
      <w:proofErr w:type="spellEnd"/>
      <w:r>
        <w:rPr>
          <w:color w:val="000000"/>
        </w:rPr>
        <w:t>.</w:t>
      </w:r>
    </w:p>
    <w:p w14:paraId="784FC67A" w14:textId="77777777" w:rsidR="001D05B2" w:rsidRDefault="00957A39">
      <w:pPr>
        <w:spacing w:after="150"/>
      </w:pPr>
      <w:proofErr w:type="spellStart"/>
      <w:r>
        <w:rPr>
          <w:color w:val="000000"/>
        </w:rPr>
        <w:t>Возач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увид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овлашћеном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</w:t>
      </w:r>
      <w:r>
        <w:rPr>
          <w:color w:val="000000"/>
        </w:rPr>
        <w:t>чесника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саобраћају</w:t>
      </w:r>
      <w:proofErr w:type="spellEnd"/>
      <w:r>
        <w:rPr>
          <w:color w:val="000000"/>
        </w:rPr>
        <w:t>.</w:t>
      </w:r>
    </w:p>
    <w:p w14:paraId="277E2045" w14:textId="77777777" w:rsidR="001D05B2" w:rsidRDefault="00957A39">
      <w:pPr>
        <w:spacing w:after="150"/>
      </w:pP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евидентирају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јединственом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возила</w:t>
      </w:r>
      <w:proofErr w:type="spellEnd"/>
      <w:r>
        <w:rPr>
          <w:color w:val="000000"/>
        </w:rPr>
        <w:t>.</w:t>
      </w:r>
    </w:p>
    <w:p w14:paraId="2CA8CAEA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7.</w:t>
      </w:r>
    </w:p>
    <w:p w14:paraId="627D304C" w14:textId="77777777" w:rsidR="001D05B2" w:rsidRDefault="00957A39">
      <w:pPr>
        <w:spacing w:after="150"/>
      </w:pPr>
      <w:proofErr w:type="spellStart"/>
      <w:r>
        <w:rPr>
          <w:color w:val="000000"/>
        </w:rPr>
        <w:t>Поступци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издавање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ознакама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започети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нису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окончани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окончаће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уредбом</w:t>
      </w:r>
      <w:proofErr w:type="spellEnd"/>
      <w:r>
        <w:rPr>
          <w:color w:val="000000"/>
        </w:rPr>
        <w:t>.</w:t>
      </w:r>
    </w:p>
    <w:p w14:paraId="77B2C3C6" w14:textId="77777777" w:rsidR="001D05B2" w:rsidRDefault="00957A39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8.</w:t>
      </w:r>
    </w:p>
    <w:p w14:paraId="200D7FEA" w14:textId="77777777" w:rsidR="001D05B2" w:rsidRDefault="00957A39">
      <w:pPr>
        <w:spacing w:after="150"/>
      </w:pPr>
      <w:proofErr w:type="spellStart"/>
      <w:r>
        <w:rPr>
          <w:color w:val="000000"/>
        </w:rPr>
        <w:t>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14:paraId="40F0E696" w14:textId="77777777" w:rsidR="001D05B2" w:rsidRDefault="00957A39">
      <w:pPr>
        <w:spacing w:after="150"/>
        <w:jc w:val="right"/>
      </w:pPr>
      <w:r>
        <w:rPr>
          <w:color w:val="000000"/>
        </w:rPr>
        <w:t xml:space="preserve">05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110-10095/2022-1</w:t>
      </w:r>
    </w:p>
    <w:p w14:paraId="74CAD345" w14:textId="77777777" w:rsidR="001D05B2" w:rsidRDefault="00957A39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6. </w:t>
      </w:r>
      <w:proofErr w:type="spellStart"/>
      <w:r>
        <w:rPr>
          <w:color w:val="000000"/>
        </w:rPr>
        <w:t>децембра</w:t>
      </w:r>
      <w:proofErr w:type="spellEnd"/>
      <w:r>
        <w:rPr>
          <w:color w:val="000000"/>
        </w:rPr>
        <w:t xml:space="preserve"> 2022. </w:t>
      </w:r>
      <w:proofErr w:type="spellStart"/>
      <w:r>
        <w:rPr>
          <w:color w:val="000000"/>
        </w:rPr>
        <w:t>године</w:t>
      </w:r>
      <w:proofErr w:type="spellEnd"/>
    </w:p>
    <w:p w14:paraId="2417E28C" w14:textId="77777777" w:rsidR="001D05B2" w:rsidRDefault="00957A39">
      <w:pPr>
        <w:spacing w:after="150"/>
        <w:jc w:val="right"/>
      </w:pPr>
      <w:proofErr w:type="spellStart"/>
      <w:r>
        <w:rPr>
          <w:b/>
          <w:color w:val="000000"/>
        </w:rPr>
        <w:t>Влада</w:t>
      </w:r>
      <w:proofErr w:type="spellEnd"/>
    </w:p>
    <w:p w14:paraId="435ADEAA" w14:textId="77777777" w:rsidR="001D05B2" w:rsidRDefault="00957A39">
      <w:pPr>
        <w:spacing w:after="150"/>
        <w:jc w:val="right"/>
      </w:pPr>
      <w:proofErr w:type="spellStart"/>
      <w:r>
        <w:rPr>
          <w:color w:val="000000"/>
        </w:rPr>
        <w:t>Први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потпред</w:t>
      </w:r>
      <w:r>
        <w:rPr>
          <w:color w:val="000000"/>
        </w:rPr>
        <w:t>седник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Владе</w:t>
      </w:r>
      <w:proofErr w:type="spellEnd"/>
      <w:r>
        <w:rPr>
          <w:color w:val="000000"/>
        </w:rPr>
        <w:t>,</w:t>
      </w:r>
    </w:p>
    <w:p w14:paraId="101CF661" w14:textId="77777777" w:rsidR="001D05B2" w:rsidRDefault="00957A39">
      <w:pPr>
        <w:spacing w:after="150"/>
        <w:jc w:val="right"/>
      </w:pPr>
      <w:proofErr w:type="spellStart"/>
      <w:r>
        <w:rPr>
          <w:b/>
          <w:color w:val="000000"/>
        </w:rPr>
        <w:lastRenderedPageBreak/>
        <w:t>Ивица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Дачић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sectPr w:rsidR="001D05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5B2"/>
    <w:rsid w:val="001D05B2"/>
    <w:rsid w:val="009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B1B5"/>
  <w15:docId w15:val="{A50088AB-0167-4B1F-B323-AA8B432E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Zvjezdan Zivkovic</cp:lastModifiedBy>
  <cp:revision>2</cp:revision>
  <dcterms:created xsi:type="dcterms:W3CDTF">2022-12-06T18:54:00Z</dcterms:created>
  <dcterms:modified xsi:type="dcterms:W3CDTF">2022-12-06T18:54:00Z</dcterms:modified>
</cp:coreProperties>
</file>